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Arial" w:eastAsia="Times New Roman" w:hAnsi="Arial" w:cs="Arial"/>
          <w:color w:val="000000"/>
          <w:sz w:val="36"/>
          <w:szCs w:val="36"/>
          <w:lang w:eastAsia="ru-RU"/>
        </w:rPr>
      </w:pPr>
      <w:r w:rsidRPr="004B46EC">
        <w:rPr>
          <w:rFonts w:ascii="Arial" w:eastAsia="Times New Roman" w:hAnsi="Arial" w:cs="Arial"/>
          <w:color w:val="000000"/>
          <w:sz w:val="36"/>
          <w:szCs w:val="36"/>
          <w:lang w:eastAsia="ru-RU"/>
        </w:rPr>
        <w:t>Бескрайняя Москва: факторы роста и развития</w:t>
      </w:r>
    </w:p>
    <w:p w:rsidR="004B46EC" w:rsidRPr="004B46EC" w:rsidRDefault="00A54E07" w:rsidP="004B46EC">
      <w:pPr>
        <w:shd w:val="clear" w:color="auto" w:fill="EFF0F0"/>
        <w:spacing w:after="30" w:line="240" w:lineRule="auto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hyperlink r:id="rId5" w:history="1">
        <w:r w:rsidR="004B46EC" w:rsidRPr="004B46EC">
          <w:rPr>
            <w:rFonts w:ascii="Arial" w:eastAsia="Times New Roman" w:hAnsi="Arial" w:cs="Arial"/>
            <w:color w:val="005594"/>
            <w:sz w:val="23"/>
            <w:szCs w:val="23"/>
            <w:u w:val="single"/>
            <w:lang w:eastAsia="ru-RU"/>
          </w:rPr>
          <w:t>Регионы</w:t>
        </w:r>
      </w:hyperlink>
      <w:r w:rsidR="004B46EC" w:rsidRPr="004B46EC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/ </w:t>
      </w:r>
      <w:hyperlink r:id="rId6" w:history="1">
        <w:r w:rsidR="004B46EC" w:rsidRPr="004B46EC">
          <w:rPr>
            <w:rFonts w:ascii="Arial" w:eastAsia="Times New Roman" w:hAnsi="Arial" w:cs="Arial"/>
            <w:color w:val="005594"/>
            <w:sz w:val="23"/>
            <w:szCs w:val="23"/>
            <w:u w:val="single"/>
            <w:lang w:eastAsia="ru-RU"/>
          </w:rPr>
          <w:t>экономика территорий</w:t>
        </w:r>
      </w:hyperlink>
    </w:p>
    <w:p w:rsidR="004B46EC" w:rsidRPr="004B46EC" w:rsidRDefault="004B46EC" w:rsidP="004B46EC">
      <w:pPr>
        <w:shd w:val="clear" w:color="auto" w:fill="EFF0F0"/>
        <w:spacing w:after="75" w:line="240" w:lineRule="auto"/>
        <w:rPr>
          <w:rFonts w:ascii="Times New Roman" w:eastAsia="Times New Roman" w:hAnsi="Times New Roman" w:cs="Times New Roman"/>
          <w:color w:val="005594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5594"/>
          <w:sz w:val="23"/>
          <w:szCs w:val="23"/>
          <w:lang w:eastAsia="ru-RU"/>
        </w:rPr>
        <w:t>31 Май 2013, </w:t>
      </w:r>
      <w:hyperlink r:id="rId7" w:history="1">
        <w:r w:rsidRPr="004B46EC">
          <w:rPr>
            <w:rFonts w:ascii="Times New Roman" w:eastAsia="Times New Roman" w:hAnsi="Times New Roman" w:cs="Times New Roman"/>
            <w:i/>
            <w:iCs/>
            <w:color w:val="005594"/>
            <w:sz w:val="23"/>
            <w:szCs w:val="23"/>
            <w:u w:val="single"/>
            <w:lang w:eastAsia="ru-RU"/>
          </w:rPr>
          <w:t>Алла Махрова</w:t>
        </w:r>
      </w:hyperlink>
    </w:p>
    <w:p w:rsidR="004B46EC" w:rsidRPr="004B46EC" w:rsidRDefault="004B46EC" w:rsidP="004B46EC">
      <w:pPr>
        <w:shd w:val="clear" w:color="auto" w:fill="EFF0F0"/>
        <w:spacing w:after="150" w:line="240" w:lineRule="auto"/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Вокруг Москвы сформировалась агломерация, напоминающая по форме расплывчатое масляное пятно. Структура агломерации усложняется, а в динамизме ее элементов прослеживаются признаки нескольких стадий развития агломерации одновременно, отметила на 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fldChar w:fldCharType="begin"/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instrText xml:space="preserve"> HYPERLINK "http://www.leontief-centre.ru/content38" </w:instrTex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fldChar w:fldCharType="separate"/>
      </w:r>
      <w:r w:rsidRPr="004B46EC">
        <w:rPr>
          <w:rFonts w:ascii="Times New Roman" w:eastAsia="Times New Roman" w:hAnsi="Times New Roman" w:cs="Times New Roman"/>
          <w:i/>
          <w:iCs/>
          <w:color w:val="005594"/>
          <w:sz w:val="23"/>
          <w:szCs w:val="23"/>
          <w:u w:val="single"/>
          <w:lang w:eastAsia="ru-RU"/>
        </w:rPr>
        <w:t>Леонтьевских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5594"/>
          <w:sz w:val="23"/>
          <w:szCs w:val="23"/>
          <w:u w:val="single"/>
          <w:lang w:eastAsia="ru-RU"/>
        </w:rPr>
        <w:t xml:space="preserve"> чтениях</w: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fldChar w:fldCharType="end"/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 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в.н.с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. </w:t>
      </w:r>
      <w:hyperlink r:id="rId8" w:history="1">
        <w:r w:rsidRPr="004B46EC">
          <w:rPr>
            <w:rFonts w:ascii="Times New Roman" w:eastAsia="Times New Roman" w:hAnsi="Times New Roman" w:cs="Times New Roman"/>
            <w:i/>
            <w:iCs/>
            <w:color w:val="005594"/>
            <w:sz w:val="23"/>
            <w:szCs w:val="23"/>
            <w:u w:val="single"/>
            <w:lang w:eastAsia="ru-RU"/>
          </w:rPr>
          <w:t>географического факультета МГУ</w:t>
        </w:r>
      </w:hyperlink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 </w:t>
      </w:r>
      <w:r w:rsidRPr="004B46EC">
        <w:rPr>
          <w:rFonts w:ascii="Times New Roman" w:eastAsia="Times New Roman" w:hAnsi="Times New Roman" w:cs="Times New Roman"/>
          <w:b/>
          <w:bCs/>
          <w:i/>
          <w:iCs/>
          <w:color w:val="000000"/>
          <w:sz w:val="23"/>
          <w:szCs w:val="23"/>
          <w:lang w:eastAsia="ru-RU"/>
        </w:rPr>
        <w:t>Алла МАХРОВА  </w:t>
      </w:r>
    </w:p>
    <w:p w:rsidR="004B46EC" w:rsidRPr="004B46EC" w:rsidRDefault="00A54E07" w:rsidP="004B46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1.5pt" o:hralign="center" o:hrstd="t" o:hrnoshade="t" o:hr="t" fillcolor="black" stroked="f"/>
        </w:pict>
      </w:r>
    </w:p>
    <w:p w:rsidR="004B46EC" w:rsidRPr="004B46EC" w:rsidRDefault="004B46EC" w:rsidP="004B46EC">
      <w:pPr>
        <w:shd w:val="clear" w:color="auto" w:fill="EFF0F0"/>
        <w:spacing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noProof/>
          <w:color w:val="005594"/>
          <w:sz w:val="23"/>
          <w:szCs w:val="23"/>
          <w:lang w:eastAsia="ru-RU"/>
        </w:rPr>
        <w:drawing>
          <wp:inline distT="0" distB="0" distL="0" distR="0" wp14:anchorId="010313AD" wp14:editId="6E167F61">
            <wp:extent cx="1428750" cy="2038350"/>
            <wp:effectExtent l="0" t="0" r="0" b="0"/>
            <wp:docPr id="3" name="Рисунок 2" descr="Алла Махрова">
              <a:hlinkClick xmlns:a="http://schemas.openxmlformats.org/drawingml/2006/main" r:id="rId9" tooltip="&quot;Алла Махрова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Алла Махрова">
                      <a:hlinkClick r:id="rId9" tooltip="&quot;Алла Махрова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6EC" w:rsidRPr="004B46EC" w:rsidRDefault="004B46EC" w:rsidP="004B46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shd w:val="clear" w:color="auto" w:fill="EFF0F0"/>
          <w:lang w:eastAsia="ru-RU"/>
        </w:rPr>
        <w:t>Рассмотрим особенности прохождения стадий на примере крупнейшей в стране Московской агломерации.</w:t>
      </w:r>
    </w:p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В своем развитии городские агломерации проходят несколько последовательных стадий. </w:t>
      </w:r>
      <w:proofErr w:type="gram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Наиболее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val="en-US" w:eastAsia="ru-RU"/>
        </w:rPr>
        <w:t xml:space="preserve"> 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известная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val="en-US" w:eastAsia="ru-RU"/>
        </w:rPr>
        <w:t xml:space="preserve"> 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модель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val="en-US" w:eastAsia="ru-RU"/>
        </w:rPr>
        <w:t xml:space="preserve">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Клаасена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val="en-US" w:eastAsia="ru-RU"/>
        </w:rPr>
        <w:t xml:space="preserve"> 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и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val="en-US" w:eastAsia="ru-RU"/>
        </w:rPr>
        <w:t xml:space="preserve">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Шимеми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(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Klaassen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 xml:space="preserve"> L.,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Scimemi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 xml:space="preserve"> G. (1981)’Theoretical issuers in urban dynamics’ in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Klaassen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 xml:space="preserve"> L.,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Molle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 xml:space="preserve"> W. and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Paelinck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 xml:space="preserve"> J. (eds.),</w:t>
      </w:r>
      <w:proofErr w:type="gram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 xml:space="preserve"> </w:t>
      </w:r>
      <w:proofErr w:type="gram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Dynamics of Urban Development.</w:t>
      </w:r>
      <w:proofErr w:type="gram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 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New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York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: </w:t>
      </w:r>
      <w:proofErr w:type="spellStart"/>
      <w:proofErr w:type="gram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St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Martin’s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Pres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,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pp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. 8-28)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 предполагает последовательное прохождение стадий урбанизации,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субурбанизации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,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контрурбанизации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и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реурбанизации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.</w:t>
      </w:r>
      <w:proofErr w:type="gram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Под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субурбанизацией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понимается опережающий рост пригородов по сравнению с ядром.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Постсубурбанизация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(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реурбанизация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) означает возврат к начальной стадии (урбанизации), для которой характерен опережающий рост главного центра (наступает после стадии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контрурбанизации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, ее индикатором служит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переток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населения и экономики на примыкающие к агломерации территории).</w:t>
      </w:r>
    </w:p>
    <w:p w:rsidR="004B46EC" w:rsidRPr="004B46EC" w:rsidRDefault="004B46EC" w:rsidP="004B46EC">
      <w:pPr>
        <w:shd w:val="clear" w:color="auto" w:fill="EFF0F0"/>
        <w:spacing w:after="0" w:line="240" w:lineRule="auto"/>
        <w:outlineLvl w:val="1"/>
        <w:rPr>
          <w:rFonts w:ascii="Arial" w:eastAsia="Times New Roman" w:hAnsi="Arial" w:cs="Arial"/>
          <w:color w:val="000000"/>
          <w:sz w:val="32"/>
          <w:szCs w:val="32"/>
          <w:lang w:eastAsia="ru-RU"/>
        </w:rPr>
      </w:pPr>
      <w:r w:rsidRPr="004B46EC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Стадии развития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Попробуем оценить эти стадии на основании критериев численности населения Московской агломерации. Если сравнивать темпы роста населения, то ядро в административных границах Москвы увеличивает удельный вес в численности населения агломерации. Среднегодовой прирост за 1991–2012 гг. составил для ядра 12%, для пригородов – 11%, а доля ядра в населении агломерации увеличилась с 57% до 62%. Оба индикатора показывают, что Московская агломерация находится на стадии урбанизации.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noProof/>
          <w:color w:val="000000"/>
          <w:sz w:val="23"/>
          <w:szCs w:val="23"/>
          <w:lang w:eastAsia="ru-RU"/>
        </w:rPr>
        <mc:AlternateContent>
          <mc:Choice Requires="wps">
            <w:drawing>
              <wp:inline distT="0" distB="0" distL="0" distR="0" wp14:anchorId="358EFE02" wp14:editId="49B36153">
                <wp:extent cx="304800" cy="304800"/>
                <wp:effectExtent l="0" t="0" r="0" b="0"/>
                <wp:docPr id="2" name="AutoShape 3" descr="http://ecpol.ru/media/images/Diag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Описание: http://ecpol.ru/media/images/Diag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GmfwVtQCAADm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Если опираться на данные Госкомстата РФ о миграции, то уже пригороды привлекательнее Москвы, а в последние два года Москва теряет по нескольку тысяч человек в год в пользу области, что может рассматриваться как признак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субурбанизации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Еще одна особенность Московской агломерации – это сезонный характер миграции за город (это можно назвать процессом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квазисубурбанизации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). Причем в постсоветский период произошло увеличение масштабов проживания на «дачах» в пригородах. Одновременно с этим увеличились масштабы миграции на «дальние дачи» за пределами агломерации, что может рассматриваться как элемент стадии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квазиконтрурбанизации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lastRenderedPageBreak/>
        <w:t xml:space="preserve">Еще одна особенность столичной агломерации – развитие процессов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джентрификации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, обновления нефешенебельных кварталов центра столицы, процессов рециркуляции, которые проходят одновременно с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субурбанизацией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, а не после нее, как предполагают стандартные модели. В случае Москвы признаков стадии упадка центра города вообще не наблюдалось.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Тенденция последнего времени – это формирование в пригородной зоне «окраинных городов», которые начинают развиваться как самодостаточные центры, их появление характерно для периода р</w:t>
      </w:r>
      <w:proofErr w:type="gram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е-</w:t>
      </w:r>
      <w:proofErr w:type="gram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или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постсубурбанизации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Таким образом, в сложном развитии Московской агломерации наблюдаются черты разных стадий развития одновременно.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Еще одна черта, характерная для развития Московской агломерации – активный территориальный рост границ города-ядра, в результате чего в составе центрального города выделяются зоны внутренней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субурбанизации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, которые раньше были его пригородами.</w:t>
      </w:r>
    </w:p>
    <w:p w:rsidR="004B46EC" w:rsidRPr="004B46EC" w:rsidRDefault="004B46EC" w:rsidP="004B46EC">
      <w:pPr>
        <w:shd w:val="clear" w:color="auto" w:fill="EFF0F0"/>
        <w:spacing w:after="0" w:line="240" w:lineRule="auto"/>
        <w:outlineLvl w:val="1"/>
        <w:rPr>
          <w:rFonts w:ascii="Arial" w:eastAsia="Times New Roman" w:hAnsi="Arial" w:cs="Arial"/>
          <w:color w:val="000000"/>
          <w:sz w:val="32"/>
          <w:szCs w:val="32"/>
          <w:lang w:eastAsia="ru-RU"/>
        </w:rPr>
      </w:pPr>
      <w:r w:rsidRPr="004B46EC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Бескрайняя Москва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В этой связи возникает вопрос о том, каковы границы и удельный вес ядра агломерации в общей численности? Если выделять ядро в черте Центрального административного округа Москвы, то оно составит около 750 тыс. чел. или 4%. Если приплюсовать к этому следующий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субцентральный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пояс районов – 1,6 </w:t>
      </w:r>
      <w:proofErr w:type="gram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млн</w:t>
      </w:r>
      <w:proofErr w:type="gram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чел. или 9%, а если включить еще и срединный пояс районов – 4,5 млн чел. или 24%. И соответственно, в зависимости от того, как выделять ядро, будет меняться и представление о том, какие процессы шли в пригородной зоне.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В большинстве современных российских работ в качестве ядер агломераций рассматривают центральный город в его существующих границах, но расширение столицы в 2,5 раза ставит вопрос о том, может ли ядром агломерации со звездчатой планировочной структурой стать линейный город, и если может, то когда?</w:t>
      </w:r>
    </w:p>
    <w:p w:rsidR="004B46EC" w:rsidRPr="004B46EC" w:rsidRDefault="004B46EC" w:rsidP="004B46EC">
      <w:pPr>
        <w:shd w:val="clear" w:color="auto" w:fill="EFF0F0"/>
        <w:spacing w:after="0" w:line="240" w:lineRule="auto"/>
        <w:outlineLvl w:val="1"/>
        <w:rPr>
          <w:rFonts w:ascii="Arial" w:eastAsia="Times New Roman" w:hAnsi="Arial" w:cs="Arial"/>
          <w:color w:val="000000"/>
          <w:sz w:val="32"/>
          <w:szCs w:val="32"/>
          <w:lang w:eastAsia="ru-RU"/>
        </w:rPr>
      </w:pPr>
      <w:r w:rsidRPr="004B46EC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Трансформация системы расселения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Рассматривая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субурбанизацию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как процесс трансформации системы расселения, ее часто понимают как однородный процесс, прежде всего, коттеджно-дачной экспансии. В Московской агломерации масштабы этого процесса огромны. Садово-дачные объединения образуют на территории Подмосковья фактически альтернативную сеть поселений: число садово-дачных и коттеджных поселков почти в два раза больше, чем число сельских пунктов.</w:t>
      </w:r>
    </w:p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0DB92588" wp14:editId="47E8B80F">
            <wp:extent cx="5940425" cy="4455319"/>
            <wp:effectExtent l="0" t="0" r="3175" b="2540"/>
            <wp:docPr id="5" name="Рисунок 5" descr="http://ecpol.ru/media/images/diag2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ecpol.ru/media/images/diag2(1)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6EC" w:rsidRPr="004B46EC" w:rsidRDefault="004B46EC" w:rsidP="004B46EC">
      <w:pPr>
        <w:shd w:val="clear" w:color="auto" w:fill="00457B"/>
        <w:spacing w:after="150" w:line="240" w:lineRule="auto"/>
        <w:jc w:val="center"/>
        <w:rPr>
          <w:rFonts w:ascii="inherit" w:eastAsia="Times New Roman" w:hAnsi="inherit" w:cs="Times New Roman"/>
          <w:color w:val="FFFFFF"/>
          <w:sz w:val="18"/>
          <w:szCs w:val="18"/>
          <w:lang w:eastAsia="ru-RU"/>
        </w:rPr>
      </w:pPr>
      <w:r w:rsidRPr="004B46EC">
        <w:rPr>
          <w:rFonts w:ascii="inherit" w:eastAsia="Times New Roman" w:hAnsi="inherit" w:cs="Times New Roman"/>
          <w:color w:val="FFFFFF"/>
          <w:sz w:val="18"/>
          <w:szCs w:val="18"/>
          <w:lang w:eastAsia="ru-RU"/>
        </w:rPr>
        <w:t xml:space="preserve">Диаграмма 2. Территориальный рост Московской агломерации. Источник: Махрова А.Г., Нефедова Т.Г., </w:t>
      </w:r>
      <w:proofErr w:type="spellStart"/>
      <w:r w:rsidRPr="004B46EC">
        <w:rPr>
          <w:rFonts w:ascii="inherit" w:eastAsia="Times New Roman" w:hAnsi="inherit" w:cs="Times New Roman"/>
          <w:color w:val="FFFFFF"/>
          <w:sz w:val="18"/>
          <w:szCs w:val="18"/>
          <w:lang w:eastAsia="ru-RU"/>
        </w:rPr>
        <w:t>Трейвиш</w:t>
      </w:r>
      <w:proofErr w:type="spellEnd"/>
      <w:r w:rsidRPr="004B46EC">
        <w:rPr>
          <w:rFonts w:ascii="inherit" w:eastAsia="Times New Roman" w:hAnsi="inherit" w:cs="Times New Roman"/>
          <w:color w:val="FFFFFF"/>
          <w:sz w:val="18"/>
          <w:szCs w:val="18"/>
          <w:lang w:eastAsia="ru-RU"/>
        </w:rPr>
        <w:t xml:space="preserve"> А.И. Москва: мегаполис? агломерация? мегалополис? // </w:t>
      </w:r>
      <w:proofErr w:type="spellStart"/>
      <w:r w:rsidRPr="004B46EC">
        <w:rPr>
          <w:rFonts w:ascii="inherit" w:eastAsia="Times New Roman" w:hAnsi="inherit" w:cs="Times New Roman"/>
          <w:color w:val="FFFFFF"/>
          <w:sz w:val="18"/>
          <w:szCs w:val="18"/>
          <w:lang w:eastAsia="ru-RU"/>
        </w:rPr>
        <w:t>Демоскоп</w:t>
      </w:r>
      <w:proofErr w:type="spellEnd"/>
      <w:r w:rsidRPr="004B46EC">
        <w:rPr>
          <w:rFonts w:ascii="inherit" w:eastAsia="Times New Roman" w:hAnsi="inherit" w:cs="Times New Roman"/>
          <w:color w:val="FFFFFF"/>
          <w:sz w:val="18"/>
          <w:szCs w:val="18"/>
          <w:lang w:eastAsia="ru-RU"/>
        </w:rPr>
        <w:t xml:space="preserve"> </w:t>
      </w:r>
      <w:proofErr w:type="spellStart"/>
      <w:r w:rsidRPr="004B46EC">
        <w:rPr>
          <w:rFonts w:ascii="inherit" w:eastAsia="Times New Roman" w:hAnsi="inherit" w:cs="Times New Roman"/>
          <w:color w:val="FFFFFF"/>
          <w:sz w:val="18"/>
          <w:szCs w:val="18"/>
          <w:lang w:eastAsia="ru-RU"/>
        </w:rPr>
        <w:t>Weekly</w:t>
      </w:r>
      <w:proofErr w:type="spellEnd"/>
      <w:r w:rsidRPr="004B46EC">
        <w:rPr>
          <w:rFonts w:ascii="inherit" w:eastAsia="Times New Roman" w:hAnsi="inherit" w:cs="Times New Roman"/>
          <w:color w:val="FFFFFF"/>
          <w:sz w:val="18"/>
          <w:szCs w:val="18"/>
          <w:lang w:eastAsia="ru-RU"/>
        </w:rPr>
        <w:t>. № 517–518. 1–19 августа 2012 г.</w:t>
      </w:r>
    </w:p>
    <w:p w:rsidR="004B46EC" w:rsidRPr="004B46EC" w:rsidRDefault="004B46EC" w:rsidP="004B46EC">
      <w:pPr>
        <w:spacing w:line="315" w:lineRule="atLeast"/>
        <w:rPr>
          <w:rFonts w:ascii="Arial" w:eastAsia="Times New Roman" w:hAnsi="Arial" w:cs="Arial"/>
          <w:color w:val="00498B"/>
          <w:sz w:val="26"/>
          <w:szCs w:val="26"/>
          <w:lang w:eastAsia="ru-RU"/>
        </w:rPr>
      </w:pPr>
      <w:r w:rsidRPr="004B46EC">
        <w:rPr>
          <w:rFonts w:ascii="Arial" w:eastAsia="Times New Roman" w:hAnsi="Arial" w:cs="Arial"/>
          <w:color w:val="00498B"/>
          <w:sz w:val="26"/>
          <w:szCs w:val="26"/>
          <w:lang w:eastAsia="ru-RU"/>
        </w:rPr>
        <w:t>С начала ХХ</w:t>
      </w:r>
      <w:proofErr w:type="gramStart"/>
      <w:r w:rsidRPr="004B46EC">
        <w:rPr>
          <w:rFonts w:ascii="Arial" w:eastAsia="Times New Roman" w:hAnsi="Arial" w:cs="Arial"/>
          <w:color w:val="00498B"/>
          <w:sz w:val="26"/>
          <w:szCs w:val="26"/>
          <w:lang w:eastAsia="ru-RU"/>
        </w:rPr>
        <w:t>I</w:t>
      </w:r>
      <w:proofErr w:type="gramEnd"/>
      <w:r w:rsidRPr="004B46EC">
        <w:rPr>
          <w:rFonts w:ascii="Arial" w:eastAsia="Times New Roman" w:hAnsi="Arial" w:cs="Arial"/>
          <w:color w:val="00498B"/>
          <w:sz w:val="26"/>
          <w:szCs w:val="26"/>
          <w:lang w:eastAsia="ru-RU"/>
        </w:rPr>
        <w:t xml:space="preserve"> века многофункциональные города Московской области уменьшили свои спальные функции и усилили свою самодостаточность</w:t>
      </w:r>
    </w:p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Несмотря на то, что по количеству поселений доминирует дачный сезонный сегмент, большая часть постоянного населения пригородной зоны проживает именно в городских поселениях. Их вокруг Москвы несколько десятков: 80 городов и 72 поселка городского типа (</w: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см. диаграмму 1).</w:t>
      </w:r>
    </w:p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По оценкам автора, численность москвичей, живущих в летний сезон в Подмосковье, превышает 3 </w:t>
      </w:r>
      <w:proofErr w:type="gram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млн</w:t>
      </w:r>
      <w:proofErr w:type="gram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человек (</w: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Махрова А., Нефедова Т.,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Трейвиш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 А. Московская область сегодня и завтра: тенденции и перспективы пространственного развития М.: Новый хронограф, 2008.). 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Фактически вся территория агломерации пронизана сетью сезонного расселения, а в некоторых периферийных районах численность сезонного населения выше, чем постоянного.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Таким образом, Московская агломерация имеет ярко выраженный пульсирующий характер – из-за сокращения численности дневного населения пригородов в будний зимний день на 1,3 </w:t>
      </w:r>
      <w:proofErr w:type="gram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млн</w:t>
      </w:r>
      <w:proofErr w:type="gram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человек, за счет маятниковых миграций и его увеличения в летний уикенд на 3 млн человек, за счет дачников.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Одновременно в 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субурбиях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 идут активные социально-экономические трансформации, вызывая рост промышленных, логистических, торговых и других функций. Многофункциональные города (в Подмосковье насчитывается 16 городов людностью более 100 тыс. жителей) уменьшили свои спальные функции и усилили самодостаточность. В научных центрах происходит размывание научных функций. В сельских поселениях сокращаются аграрные функции. </w:t>
      </w:r>
      <w:proofErr w:type="gram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В коттеджных поселках увеличиваются функции для постоянного проживания, а в садово-дачных – для сезонной рекреации и постоянной селитьбы.</w:t>
      </w:r>
      <w:proofErr w:type="gram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Социальная трансформация большинства пригородов связана с увеличением социального разнообразия состава населения, дифференциацией стилей жизни, сближением 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lastRenderedPageBreak/>
        <w:t>городского и сельского образа жизни. Кроме того, происходит рост социальной изоляции населения коттеджных поселков, которые развиваются как «позолоченные гетто».</w:t>
      </w:r>
    </w:p>
    <w:p w:rsidR="004B46EC" w:rsidRPr="004B46EC" w:rsidRDefault="004B46EC" w:rsidP="004B46EC">
      <w:pPr>
        <w:shd w:val="clear" w:color="auto" w:fill="EFF0F0"/>
        <w:spacing w:after="0" w:line="240" w:lineRule="auto"/>
        <w:outlineLvl w:val="1"/>
        <w:rPr>
          <w:rFonts w:ascii="Arial" w:eastAsia="Times New Roman" w:hAnsi="Arial" w:cs="Arial"/>
          <w:color w:val="000000"/>
          <w:sz w:val="32"/>
          <w:szCs w:val="32"/>
          <w:lang w:eastAsia="ru-RU"/>
        </w:rPr>
      </w:pPr>
      <w:r w:rsidRPr="004B46EC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Территориальный рост</w:t>
      </w:r>
    </w:p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noProof/>
          <w:color w:val="000000"/>
          <w:sz w:val="23"/>
          <w:szCs w:val="23"/>
          <w:lang w:eastAsia="ru-RU"/>
        </w:rPr>
        <mc:AlternateContent>
          <mc:Choice Requires="wps">
            <w:drawing>
              <wp:inline distT="0" distB="0" distL="0" distR="0" wp14:anchorId="1BA82A7C" wp14:editId="1D729D8F">
                <wp:extent cx="304800" cy="304800"/>
                <wp:effectExtent l="0" t="0" r="0" b="0"/>
                <wp:docPr id="1" name="AutoShape 5" descr="http://ecpol.ru/media/images/Diag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Описание: http://ecpol.ru/media/images/Diag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" filled="f" stroked="f">
                <o:lock v:ext="edit" aspectratio="t"/>
                <w10:anchorlock/>
              </v:rect>
            </w:pict>
          </mc:Fallback>
        </mc:AlternateConten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Почти за вековой период развития Московской агломерации визуально можно наблюдать, как от </w:t>
      </w:r>
      <w:proofErr w:type="gram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линейных</w:t>
      </w:r>
      <w:proofErr w:type="gram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субурбий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1930-х гг. и лучевой системы 1960–70-х гг. она трансформируется в расплывающееся образование по типу «городского архипелага» стадии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реурбанизации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 (см. диаграмму 2).</w:t>
      </w:r>
    </w:p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Одновременно пространственная структура агломерации усложняется, что проявляется в новых формах пригородной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постсубурбии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– «окраинных» (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edge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city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) и «бескрайних»(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edgeless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city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) городах. </w:t>
      </w:r>
      <w:proofErr w:type="gram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«Окраинный» город – это самодостаточный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субцентр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экономической активности (</w: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см.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Garreau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 J.</w:t>
      </w:r>
      <w:proofErr w:type="gram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 </w: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Edge City: Life on the New Frontier. New York: Doubleday, 1991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val="en-US" w:eastAsia="ru-RU"/>
        </w:rPr>
        <w:t xml:space="preserve">). </w:t>
      </w:r>
      <w:proofErr w:type="gram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«Бескрайний город» – форма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деконцентрированной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застройки из одного или нескольких офисных зданий (</w: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см. </w: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Lang R.</w:t>
      </w:r>
      <w:proofErr w:type="gram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 xml:space="preserve"> E. Edgeless Cities: Exploring the Elusive Metropolis.  Brookings Institution Press, Washington, D.C., 2003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val="en-US" w:eastAsia="ru-RU"/>
        </w:rPr>
        <w:t>)</w: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val="en-US" w:eastAsia="ru-RU"/>
        </w:rPr>
        <w:t>. 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В Московской агломерации «окраинных городов», которые соответствуют критериям Дж.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Гарро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, всего два – Химки и Красногорск; «бескрайние города» пока не проявились.</w:t>
      </w:r>
    </w:p>
    <w:p w:rsidR="00A54E07" w:rsidRDefault="00A54E07" w:rsidP="004B46EC">
      <w:pPr>
        <w:shd w:val="clear" w:color="auto" w:fill="EFF0F0"/>
        <w:spacing w:after="0" w:line="240" w:lineRule="auto"/>
        <w:outlineLvl w:val="1"/>
        <w:rPr>
          <w:rFonts w:ascii="Arial" w:eastAsia="Times New Roman" w:hAnsi="Arial" w:cs="Arial"/>
          <w:color w:val="000000"/>
          <w:sz w:val="32"/>
          <w:szCs w:val="32"/>
          <w:lang w:eastAsia="ru-RU"/>
        </w:rPr>
      </w:pPr>
    </w:p>
    <w:p w:rsidR="004B46EC" w:rsidRPr="004B46EC" w:rsidRDefault="004B46EC" w:rsidP="004B46EC">
      <w:pPr>
        <w:shd w:val="clear" w:color="auto" w:fill="EFF0F0"/>
        <w:spacing w:after="0" w:line="240" w:lineRule="auto"/>
        <w:outlineLvl w:val="1"/>
        <w:rPr>
          <w:rFonts w:ascii="Arial" w:eastAsia="Times New Roman" w:hAnsi="Arial" w:cs="Arial"/>
          <w:color w:val="000000"/>
          <w:sz w:val="32"/>
          <w:szCs w:val="32"/>
          <w:lang w:eastAsia="ru-RU"/>
        </w:rPr>
      </w:pPr>
      <w:r w:rsidRPr="004B46EC">
        <w:rPr>
          <w:rFonts w:ascii="Arial" w:eastAsia="Times New Roman" w:hAnsi="Arial" w:cs="Arial"/>
          <w:color w:val="000000"/>
          <w:sz w:val="32"/>
          <w:szCs w:val="32"/>
          <w:lang w:eastAsia="ru-RU"/>
        </w:rPr>
        <w:t>Перспективы развития</w:t>
      </w:r>
    </w:p>
    <w:p w:rsidR="00A54E07" w:rsidRDefault="00A54E07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A54E07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bookmarkStart w:id="0" w:name="_GoBack"/>
      <w:bookmarkEnd w:id="0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Прогноз численности населения Московской агломерации, основанный на оценке стадий и тенденций развития и на ее воспроизводственном потенциале, показывает, что к 2025 г. людность может составить около 21 млн</w:t>
      </w:r>
      <w:r w:rsidR="00A54E07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.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чел. </w:t>
      </w:r>
    </w:p>
    <w:p w:rsidR="00A54E07" w:rsidRDefault="00A54E07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</w:p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Изменения в пространственной структуре могут быть связаны с усилением 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полицентричности</w:t>
      </w:r>
      <w:proofErr w:type="spellEnd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пригородной зоны, ее дальнейшим расползанием и ростом населения Центрально-Русского мегалополиса до 30 млн</w:t>
      </w:r>
      <w:r w:rsidR="00A54E07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. человек.</w:t>
      </w:r>
    </w:p>
    <w:p w:rsidR="004B46EC" w:rsidRPr="004B46EC" w:rsidRDefault="004B46EC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</w:t>
      </w:r>
    </w:p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Алла Махрова</w:t>
      </w:r>
    </w:p>
    <w:p w:rsidR="004B46EC" w:rsidRPr="004B46EC" w:rsidRDefault="00A54E07" w:rsidP="004B46EC">
      <w:pPr>
        <w:shd w:val="clear" w:color="auto" w:fill="EFF0F0"/>
        <w:spacing w:before="150" w:after="15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hyperlink r:id="rId12" w:history="1">
        <w:r w:rsidR="004B46EC" w:rsidRPr="00FF01BF">
          <w:rPr>
            <w:rStyle w:val="a5"/>
            <w:rFonts w:ascii="Times New Roman" w:eastAsia="Times New Roman" w:hAnsi="Times New Roman" w:cs="Times New Roman"/>
            <w:sz w:val="23"/>
            <w:szCs w:val="23"/>
            <w:lang w:eastAsia="ru-RU"/>
          </w:rPr>
          <w:t>http://ecpol.ru/2012-04-05-13-41-25/2012-04-05-13-41-42/748-beskrajnyaya-moskva-faktory-rosta-i-razvitiya.html</w:t>
        </w:r>
      </w:hyperlink>
      <w:r w:rsid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</w:t>
      </w:r>
    </w:p>
    <w:p w:rsidR="004B46EC" w:rsidRPr="004B46EC" w:rsidRDefault="004B46EC" w:rsidP="004B46EC">
      <w:pPr>
        <w:shd w:val="clear" w:color="auto" w:fill="EFF0F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</w:pP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По материалам доклада А.Г. Махровой «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Субурбанизация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 и </w:t>
      </w:r>
      <w:proofErr w:type="spellStart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постсубурбанизация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 xml:space="preserve"> в условиях развитой агломерации (на примере Московской)» на </w:t>
      </w:r>
      <w:proofErr w:type="spellStart"/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fldChar w:fldCharType="begin"/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instrText xml:space="preserve"> HYPERLINK "http://www.leontief-centre.ru/UserFiles/Files/Progr_2013_f.pdf" \t "_blank" </w:instrTex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fldChar w:fldCharType="separate"/>
      </w:r>
      <w:r w:rsidRPr="004B46EC">
        <w:rPr>
          <w:rFonts w:ascii="Times New Roman" w:eastAsia="Times New Roman" w:hAnsi="Times New Roman" w:cs="Times New Roman"/>
          <w:i/>
          <w:iCs/>
          <w:color w:val="005594"/>
          <w:sz w:val="23"/>
          <w:szCs w:val="23"/>
          <w:u w:val="single"/>
          <w:lang w:eastAsia="ru-RU"/>
        </w:rPr>
        <w:t>Леонтьевских</w:t>
      </w:r>
      <w:proofErr w:type="spellEnd"/>
      <w:r w:rsidRPr="004B46EC">
        <w:rPr>
          <w:rFonts w:ascii="Times New Roman" w:eastAsia="Times New Roman" w:hAnsi="Times New Roman" w:cs="Times New Roman"/>
          <w:i/>
          <w:iCs/>
          <w:color w:val="005594"/>
          <w:sz w:val="23"/>
          <w:szCs w:val="23"/>
          <w:u w:val="single"/>
          <w:lang w:eastAsia="ru-RU"/>
        </w:rPr>
        <w:t xml:space="preserve"> чтениях</w:t>
      </w:r>
      <w:r w:rsidRPr="004B46EC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fldChar w:fldCharType="end"/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u w:val="single"/>
          <w:lang w:eastAsia="ru-RU"/>
        </w:rPr>
        <w:t> 2013</w:t>
      </w:r>
      <w:r w:rsidRPr="004B46EC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, 15 февраля 2013 г., Санкт-Петербург.</w:t>
      </w:r>
    </w:p>
    <w:p w:rsidR="00AF2549" w:rsidRDefault="00A54E07"/>
    <w:sectPr w:rsidR="00AF25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6EC"/>
    <w:rsid w:val="002E5F6F"/>
    <w:rsid w:val="004B46EC"/>
    <w:rsid w:val="00A54E07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B46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B46E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B46E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B46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B46E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B46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19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32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9859">
          <w:marLeft w:val="0"/>
          <w:marRight w:val="0"/>
          <w:marTop w:val="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036235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74880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225660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1820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893927">
              <w:marLeft w:val="-171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3384422">
          <w:marLeft w:val="30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eogr.msu.ru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cpol.ru/component/contact/contact/351.html" TargetMode="External"/><Relationship Id="rId12" Type="http://schemas.openxmlformats.org/officeDocument/2006/relationships/hyperlink" Target="http://ecpol.ru/2012-04-05-13-41-25/2012-04-05-13-41-42/748-beskrajnyaya-moskva-faktory-rosta-i-razvitiya.ht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ecpol.ru/2012-04-05-13-41-25/2012-04-05-13-41-42.html" TargetMode="External"/><Relationship Id="rId11" Type="http://schemas.openxmlformats.org/officeDocument/2006/relationships/image" Target="media/image2.jpeg"/><Relationship Id="rId5" Type="http://schemas.openxmlformats.org/officeDocument/2006/relationships/hyperlink" Target="http://ecpol.ru/2012-04-05-13-41-25.html" TargetMode="Externa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ecpol.ru/media/images/mahrova.jp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1357</Words>
  <Characters>7739</Characters>
  <Application>Microsoft Office Word</Application>
  <DocSecurity>0</DocSecurity>
  <Lines>64</Lines>
  <Paragraphs>18</Paragraphs>
  <ScaleCrop>false</ScaleCrop>
  <Company>Krokoz™</Company>
  <LinksUpToDate>false</LinksUpToDate>
  <CharactersWithSpaces>9078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2</cp:revision>
  <dcterms:created xsi:type="dcterms:W3CDTF">2015-04-01T19:44:00Z</dcterms:created>
  <dcterms:modified xsi:type="dcterms:W3CDTF">2015-04-01T19:53:00Z</dcterms:modified>
</cp:coreProperties>
</file>