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B46EC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Бескрайняя Москва: факторы роста и развития</w:t>
      </w:r>
    </w:p>
    <w:p w:rsidR="004B46EC" w:rsidRPr="004B46EC" w:rsidRDefault="00A54E07" w:rsidP="004B46EC">
      <w:pPr>
        <w:shd w:val="clear" w:color="auto" w:fill="EFF0F0"/>
        <w:spacing w:after="3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history="1">
        <w:r w:rsidR="004B46EC" w:rsidRPr="004B46EC">
          <w:rPr>
            <w:rFonts w:ascii="Arial" w:eastAsia="Times New Roman" w:hAnsi="Arial" w:cs="Arial"/>
            <w:color w:val="005594"/>
            <w:sz w:val="23"/>
            <w:szCs w:val="23"/>
            <w:u w:val="single"/>
            <w:lang w:eastAsia="ru-RU"/>
          </w:rPr>
          <w:t>Регионы</w:t>
        </w:r>
      </w:hyperlink>
      <w:r w:rsidR="004B46EC" w:rsidRPr="004B46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/ </w:t>
      </w:r>
      <w:hyperlink r:id="rId6" w:history="1">
        <w:r w:rsidR="004B46EC" w:rsidRPr="004B46EC">
          <w:rPr>
            <w:rFonts w:ascii="Arial" w:eastAsia="Times New Roman" w:hAnsi="Arial" w:cs="Arial"/>
            <w:color w:val="005594"/>
            <w:sz w:val="23"/>
            <w:szCs w:val="23"/>
            <w:u w:val="single"/>
            <w:lang w:eastAsia="ru-RU"/>
          </w:rPr>
          <w:t>экономика территорий</w:t>
        </w:r>
      </w:hyperlink>
    </w:p>
    <w:p w:rsidR="004B46EC" w:rsidRPr="004B46EC" w:rsidRDefault="004B46EC" w:rsidP="004B46EC">
      <w:pPr>
        <w:shd w:val="clear" w:color="auto" w:fill="EFF0F0"/>
        <w:spacing w:after="75" w:line="240" w:lineRule="auto"/>
        <w:rPr>
          <w:rFonts w:ascii="Times New Roman" w:eastAsia="Times New Roman" w:hAnsi="Times New Roman" w:cs="Times New Roman"/>
          <w:color w:val="005594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5594"/>
          <w:sz w:val="23"/>
          <w:szCs w:val="23"/>
          <w:lang w:eastAsia="ru-RU"/>
        </w:rPr>
        <w:t>31 Май 2013, </w:t>
      </w:r>
      <w:hyperlink r:id="rId7" w:history="1">
        <w:r w:rsidRPr="004B46EC">
          <w:rPr>
            <w:rFonts w:ascii="Times New Roman" w:eastAsia="Times New Roman" w:hAnsi="Times New Roman" w:cs="Times New Roman"/>
            <w:i/>
            <w:iCs/>
            <w:color w:val="005594"/>
            <w:sz w:val="23"/>
            <w:szCs w:val="23"/>
            <w:u w:val="single"/>
            <w:lang w:eastAsia="ru-RU"/>
          </w:rPr>
          <w:t>Алла Махрова</w:t>
        </w:r>
      </w:hyperlink>
    </w:p>
    <w:p w:rsidR="004B46EC" w:rsidRPr="004B46EC" w:rsidRDefault="004B46EC" w:rsidP="004B46EC">
      <w:pPr>
        <w:shd w:val="clear" w:color="auto" w:fill="EFF0F0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Вокруг Москвы сформировалась агломерация, напоминающая по форме расплывчатое масляное пятно. Структура агломерации усложняется, а в динамизме ее элементов прослеживаются признаки нескольких стадий развития агломерации одновременно, отметила на 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"http://www.leontief-centre.ru/content38" </w:instrTex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4B46EC">
        <w:rPr>
          <w:rFonts w:ascii="Times New Roman" w:eastAsia="Times New Roman" w:hAnsi="Times New Roman" w:cs="Times New Roman"/>
          <w:i/>
          <w:iCs/>
          <w:color w:val="005594"/>
          <w:sz w:val="23"/>
          <w:szCs w:val="23"/>
          <w:u w:val="single"/>
          <w:lang w:eastAsia="ru-RU"/>
        </w:rPr>
        <w:t>Леонтьевских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5594"/>
          <w:sz w:val="23"/>
          <w:szCs w:val="23"/>
          <w:u w:val="single"/>
          <w:lang w:eastAsia="ru-RU"/>
        </w:rPr>
        <w:t xml:space="preserve"> чтениях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в.н.с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hyperlink r:id="rId8" w:history="1">
        <w:r w:rsidRPr="004B46EC">
          <w:rPr>
            <w:rFonts w:ascii="Times New Roman" w:eastAsia="Times New Roman" w:hAnsi="Times New Roman" w:cs="Times New Roman"/>
            <w:i/>
            <w:iCs/>
            <w:color w:val="005594"/>
            <w:sz w:val="23"/>
            <w:szCs w:val="23"/>
            <w:u w:val="single"/>
            <w:lang w:eastAsia="ru-RU"/>
          </w:rPr>
          <w:t>географического факультета МГУ</w:t>
        </w:r>
      </w:hyperlink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4B46EC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  <w:lang w:eastAsia="ru-RU"/>
        </w:rPr>
        <w:t>Алла МАХРОВА  </w:t>
      </w:r>
    </w:p>
    <w:p w:rsidR="004B46EC" w:rsidRPr="004B46EC" w:rsidRDefault="00A54E07" w:rsidP="004B4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4B46EC" w:rsidRPr="004B46EC" w:rsidRDefault="004B46EC" w:rsidP="004B46EC">
      <w:pPr>
        <w:shd w:val="clear" w:color="auto" w:fill="EFF0F0"/>
        <w:spacing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noProof/>
          <w:color w:val="005594"/>
          <w:sz w:val="23"/>
          <w:szCs w:val="23"/>
          <w:lang w:eastAsia="ru-RU"/>
        </w:rPr>
        <w:drawing>
          <wp:inline distT="0" distB="0" distL="0" distR="0" wp14:anchorId="010313AD" wp14:editId="6E167F61">
            <wp:extent cx="1428750" cy="2038350"/>
            <wp:effectExtent l="0" t="0" r="0" b="0"/>
            <wp:docPr id="3" name="Рисунок 2" descr="Алла Махрова">
              <a:hlinkClick xmlns:a="http://schemas.openxmlformats.org/drawingml/2006/main" r:id="rId9" tooltip="&quot;Алла Махров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лла Махрова">
                      <a:hlinkClick r:id="rId9" tooltip="&quot;Алла Махров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6EC" w:rsidRPr="004B46EC" w:rsidRDefault="004B46EC" w:rsidP="004B46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EFF0F0"/>
          <w:lang w:eastAsia="ru-RU"/>
        </w:rPr>
        <w:t>Рассмотрим особенности прохождения стадий на примере крупнейшей в стране Московской агломерации.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своем развитии городские агломерации проходят несколько последовательных стадий.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Наиболее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 xml:space="preserve"> 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известная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 xml:space="preserve"> 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модель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Клаасена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 xml:space="preserve"> 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Шимеми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(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Klaassen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L.,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Scimemi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G. (1981)’Theoretical issuers in urban dynamics’ in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Klaassen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L.,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Molle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W. and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Paelinck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J. (eds.),</w:t>
      </w:r>
      <w:proofErr w:type="gram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</w:t>
      </w:r>
      <w:proofErr w:type="gram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Dynamics of Urban Development.</w:t>
      </w:r>
      <w:proofErr w:type="gram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 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New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York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: </w:t>
      </w:r>
      <w:proofErr w:type="spellStart"/>
      <w:proofErr w:type="gram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St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Martin’s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Pres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,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pp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8-28)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предполагает последовательное прохождение стадий урбанизации,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субурбанизацией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понимается опережающий рост пригородов по сравнению с ядром.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Постсубурбанизация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реурбанизация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означает возврат к начальной стадии (урбанизации), для которой характерен опережающий рост главного центра (наступает после стадии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ее индикатором служит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переток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населения и экономики на примыкающие к агломерации территории).</w:t>
      </w:r>
    </w:p>
    <w:p w:rsidR="004B46EC" w:rsidRPr="004B46EC" w:rsidRDefault="004B46EC" w:rsidP="004B46EC">
      <w:pPr>
        <w:shd w:val="clear" w:color="auto" w:fill="EFF0F0"/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B46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Стадии развития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Попробуем оценить эти стадии на основании критериев численности населения Московской агломерации. Если сравнивать темпы роста населения, то ядро в административных границах Москвы увеличивает удельный вес в численности населения агломерации. Среднегодовой прирост за 1991–2012 гг. составил для ядра 12%, для пригородов – 11%, а доля ядра в населении агломерации увеличилась с 57% до 62%. Оба индикатора показывают, что Московская агломерация находится на стадии урбанизации.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58EFE02" wp14:editId="49B36153">
                <wp:extent cx="304800" cy="304800"/>
                <wp:effectExtent l="0" t="0" r="0" b="0"/>
                <wp:docPr id="2" name="AutoShape 3" descr="http://ecpol.ru/media/images/Diag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://ecpol.ru/media/images/Diag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GmfwVtQCAADmBQAADgAAAAAAAAAAAAAAAAAuAgAAZHJzL2Uyb0RvYy54&#10;bWxQSwECLQAUAAYACAAAACEATKDpLNgAAAADAQAADwAAAAAAAAAAAAAAAAAuBQAAZHJzL2Rvd25y&#10;ZXYueG1sUEsFBgAAAAAEAAQA8wAAADMGAAAAAA==&#10;" filled="f" stroked="f">
                <o:lock v:ext="edit" aspectratio="t"/>
                <w10:anchorlock/>
              </v:rect>
            </w:pict>
          </mc:Fallback>
        </mc:AlternateConten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Если опираться на данные Госкомстата РФ о миграции, то уже пригороды привлекательнее Москвы, а в последние два года Москва теряет по нескольку тысяч человек в год в пользу области, что может рассматриваться как признак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Еще одна особенность Московской агломерации – это сезонный характер миграции за город (это можно назвать процессом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квазисубурбанизации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). Причем в постсоветский период произошло увеличение масштабов проживания на «дачах» в пригородах. Одновременно с этим увеличились масштабы миграции на «дальние дачи» за пределами агломерации, что может рассматриваться как элемент стадии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квазиконтрурбанизации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Еще одна особенность столичной агломерации – развитие процессов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джентрификации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обновления нефешенебельных кварталов центра столицы, процессов рециркуляции, которые проходят одновременно с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субурбанизацией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а не после нее, как предполагают стандартные модели. В случае Москвы признаков стадии упадка центра города вообще не наблюдалось.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Тенденция последнего времени – это формирование в пригородной зоне «окраинных городов», которые начинают развиваться как самодостаточные центры, их появление характерно для периода р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е-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или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постсубурбанизации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Таким образом, в сложном развитии Московской агломерации наблюдаются черты разных стадий развития одновременно.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Еще одна черта, характерная для развития Московской агломерации – активный территориальный рост границ города-ядра, в результате чего в составе центрального города выделяются зоны внутренней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субурбанизации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которые раньше были его пригородами.</w:t>
      </w:r>
    </w:p>
    <w:p w:rsidR="004B46EC" w:rsidRPr="004B46EC" w:rsidRDefault="004B46EC" w:rsidP="004B46EC">
      <w:pPr>
        <w:shd w:val="clear" w:color="auto" w:fill="EFF0F0"/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B46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Бескрайняя Москва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этой связи возникает вопрос о том, каковы границы и удельный вес ядра агломерации в общей численности? Если выделять ядро в черте Центрального административного округа Москвы, то оно составит около 750 тыс. чел. или 4%. Если приплюсовать к этому следующий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субцентральный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пояс районов – 1,6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млн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 или 9%, а если включить еще и срединный пояс районов – 4,5 млн чел. или 24%. И соответственно, в зависимости от того, как выделять ядро, будет меняться и представление о том, какие процессы шли в пригородной зоне.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большинстве современных российских работ в качестве ядер агломераций рассматривают центральный город в его существующих границах, но расширение столицы в 2,5 раза ставит вопрос о том, может ли ядром агломерации со звездчатой планировочной структурой стать линейный город, и если может, то когда?</w:t>
      </w:r>
    </w:p>
    <w:p w:rsidR="004B46EC" w:rsidRPr="004B46EC" w:rsidRDefault="004B46EC" w:rsidP="004B46EC">
      <w:pPr>
        <w:shd w:val="clear" w:color="auto" w:fill="EFF0F0"/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B46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Трансформация системы расселения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Рассматривая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субурбанизацию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как процесс трансформации системы расселения, ее часто понимают как однородный процесс, прежде всего, коттеджно-дачной экспансии. В Московской агломерации масштабы этого процесса огромны. Садово-дачные объединения образуют на территории Подмосковья фактически альтернативную сеть поселений: число садово-дачных и коттеджных поселков почти в два раза больше, чем число сельских пунктов.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B92588" wp14:editId="47E8B80F">
            <wp:extent cx="5940425" cy="4455319"/>
            <wp:effectExtent l="0" t="0" r="3175" b="2540"/>
            <wp:docPr id="5" name="Рисунок 5" descr="http://ecpol.ru/media/images/diag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cpol.ru/media/images/diag2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6EC" w:rsidRPr="004B46EC" w:rsidRDefault="004B46EC" w:rsidP="004B46EC">
      <w:pPr>
        <w:shd w:val="clear" w:color="auto" w:fill="00457B"/>
        <w:spacing w:after="150" w:line="240" w:lineRule="auto"/>
        <w:jc w:val="center"/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</w:pPr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 xml:space="preserve">Диаграмма 2. Территориальный рост Московской агломерации. Источник: Махрова А.Г., Нефедова Т.Г., </w:t>
      </w:r>
      <w:proofErr w:type="spellStart"/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>Трейвиш</w:t>
      </w:r>
      <w:proofErr w:type="spellEnd"/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 xml:space="preserve"> А.И. Москва: мегаполис? агломерация? мегалополис? // </w:t>
      </w:r>
      <w:proofErr w:type="spellStart"/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>Демоскоп</w:t>
      </w:r>
      <w:proofErr w:type="spellEnd"/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 xml:space="preserve"> </w:t>
      </w:r>
      <w:proofErr w:type="spellStart"/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>Weekly</w:t>
      </w:r>
      <w:proofErr w:type="spellEnd"/>
      <w:r w:rsidRPr="004B46EC">
        <w:rPr>
          <w:rFonts w:ascii="inherit" w:eastAsia="Times New Roman" w:hAnsi="inherit" w:cs="Times New Roman"/>
          <w:color w:val="FFFFFF"/>
          <w:sz w:val="18"/>
          <w:szCs w:val="18"/>
          <w:lang w:eastAsia="ru-RU"/>
        </w:rPr>
        <w:t>. № 517–518. 1–19 августа 2012 г.</w:t>
      </w:r>
    </w:p>
    <w:p w:rsidR="004B46EC" w:rsidRPr="004B46EC" w:rsidRDefault="004B46EC" w:rsidP="004B46EC">
      <w:pPr>
        <w:spacing w:line="315" w:lineRule="atLeast"/>
        <w:rPr>
          <w:rFonts w:ascii="Arial" w:eastAsia="Times New Roman" w:hAnsi="Arial" w:cs="Arial"/>
          <w:color w:val="00498B"/>
          <w:sz w:val="26"/>
          <w:szCs w:val="26"/>
          <w:lang w:eastAsia="ru-RU"/>
        </w:rPr>
      </w:pPr>
      <w:r w:rsidRPr="004B46EC">
        <w:rPr>
          <w:rFonts w:ascii="Arial" w:eastAsia="Times New Roman" w:hAnsi="Arial" w:cs="Arial"/>
          <w:color w:val="00498B"/>
          <w:sz w:val="26"/>
          <w:szCs w:val="26"/>
          <w:lang w:eastAsia="ru-RU"/>
        </w:rPr>
        <w:t>С начала ХХ</w:t>
      </w:r>
      <w:proofErr w:type="gramStart"/>
      <w:r w:rsidRPr="004B46EC">
        <w:rPr>
          <w:rFonts w:ascii="Arial" w:eastAsia="Times New Roman" w:hAnsi="Arial" w:cs="Arial"/>
          <w:color w:val="00498B"/>
          <w:sz w:val="26"/>
          <w:szCs w:val="26"/>
          <w:lang w:eastAsia="ru-RU"/>
        </w:rPr>
        <w:t>I</w:t>
      </w:r>
      <w:proofErr w:type="gramEnd"/>
      <w:r w:rsidRPr="004B46EC">
        <w:rPr>
          <w:rFonts w:ascii="Arial" w:eastAsia="Times New Roman" w:hAnsi="Arial" w:cs="Arial"/>
          <w:color w:val="00498B"/>
          <w:sz w:val="26"/>
          <w:szCs w:val="26"/>
          <w:lang w:eastAsia="ru-RU"/>
        </w:rPr>
        <w:t xml:space="preserve"> века многофункциональные города Московской области уменьшили свои спальные функции и усилили свою самодостаточность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Несмотря на то, что по количеству поселений доминирует дачный сезонный сегмент, большая часть постоянного населения пригородной зоны проживает именно в городских поселениях. Их вокруг Москвы несколько десятков: 80 городов и 72 поселка городского типа (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см. диаграмму 1).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оценкам автора, численность москвичей, живущих в летний сезон в Подмосковье, превышает 3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млн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 (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Махрова А., Нефедова Т.,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Трейвиш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А. Московская область сегодня и завтра: тенденции и перспективы пространственного развития М.: Новый хронограф, 2008.). 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Фактически вся территория агломерации пронизана сетью сезонного расселения, а в некоторых периферийных районах численность сезонного населения выше, чем постоянного.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Таким образом, Московская агломерация имеет ярко выраженный пульсирующий характер – из-за сокращения численности дневного населения пригородов в будний зимний день на 1,3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млн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человек, за счет маятниковых миграций и его увеличения в летний уикенд на 3 млн человек, за счет дачников.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Одновременно в 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субурбиях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идут активные социально-экономические трансформации, вызывая рост промышленных, логистических, торговых и других функций. Многофункциональные города (в Подмосковье насчитывается 16 городов людностью более 100 тыс. жителей) уменьшили свои спальные функции и усилили самодостаточность. В научных центрах происходит размывание научных функций. В сельских поселениях сокращаются аграрные функции.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коттеджных поселках увеличиваются функции для постоянного проживания, а в садово-дачных – для сезонной рекреации и постоянной селитьбы.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Социальная трансформация большинства пригородов связана с увеличением социального разнообразия состава населения, дифференциацией стилей жизни, сближением 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городского и сельского образа жизни. Кроме того, происходит рост социальной изоляции населения коттеджных поселков, которые развиваются как «позолоченные гетто».</w:t>
      </w:r>
    </w:p>
    <w:p w:rsidR="004B46EC" w:rsidRPr="004B46EC" w:rsidRDefault="004B46EC" w:rsidP="004B46EC">
      <w:pPr>
        <w:shd w:val="clear" w:color="auto" w:fill="EFF0F0"/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B46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Территориальный рост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BA82A7C" wp14:editId="1D729D8F">
                <wp:extent cx="304800" cy="304800"/>
                <wp:effectExtent l="0" t="0" r="0" b="0"/>
                <wp:docPr id="1" name="AutoShape 5" descr="http://ecpol.ru/media/images/Diag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://ecpol.ru/media/images/Diag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LBERdPSAgAA5gUAAA4AAAAAAAAAAAAAAAAALgIAAGRycy9lMm9Eb2MueG1s&#10;UEsBAi0AFAAGAAgAAAAhAEyg6SzYAAAAAwEAAA8AAAAAAAAAAAAAAAAALA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Почти за вековой период развития Московской агломерации визуально можно наблюдать, как от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линейных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субурбий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1930-х гг. и лучевой системы 1960–70-х гг. она трансформируется в расплывающееся образование по типу «городского архипелага» стадии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реурбанизации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(см. диаграмму 2).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Одновременно пространственная структура агломерации усложняется, что проявляется в новых формах пригородной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постсубурбии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«окраинных» (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edge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city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и «бескрайних»(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edgeless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city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) городах.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«Окраинный» город – это самодостаточный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субцентр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экономической активности (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см.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Garreau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J.</w:t>
      </w:r>
      <w:proofErr w:type="gram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Edge City: Life on the New Frontier. New York: Doubleday, 1991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 xml:space="preserve">). </w:t>
      </w:r>
      <w:proofErr w:type="gram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«Бескрайний город» – форма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деконцентрированной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застройки из одного или нескольких офисных зданий (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см. 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Lang R.</w:t>
      </w:r>
      <w:proofErr w:type="gram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 xml:space="preserve"> E. Edgeless Cities: Exploring the Elusive Metropolis.  Brookings Institution Press, Washington, D.C., 2003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)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. 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Московской агломерации «окраинных городов», которые соответствуют критериям Дж.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Гарро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всего два – Химки и Красногорск; «бескрайние города» пока не проявились.</w:t>
      </w:r>
    </w:p>
    <w:p w:rsidR="00A54E07" w:rsidRDefault="00A54E07" w:rsidP="004B46EC">
      <w:pPr>
        <w:shd w:val="clear" w:color="auto" w:fill="EFF0F0"/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B46EC" w:rsidRPr="004B46EC" w:rsidRDefault="004B46EC" w:rsidP="004B46EC">
      <w:pPr>
        <w:shd w:val="clear" w:color="auto" w:fill="EFF0F0"/>
        <w:spacing w:after="0" w:line="240" w:lineRule="auto"/>
        <w:outlineLvl w:val="1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B46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Перспективы развития</w:t>
      </w:r>
    </w:p>
    <w:p w:rsidR="00A54E07" w:rsidRDefault="00A54E07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A54E07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Прогноз численности населения Московской агломерации, основанный на оценке стадий и тенденций развития и на ее воспроизводственном потенциале, показывает, что к 2025 г. людность может составить около 21 млн</w:t>
      </w:r>
      <w:r w:rsidR="00A54E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чел. </w:t>
      </w:r>
    </w:p>
    <w:p w:rsidR="00A54E07" w:rsidRDefault="00A54E07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Изменения в пространственной структуре могут быть связаны с усилением 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полицентричности</w:t>
      </w:r>
      <w:proofErr w:type="spellEnd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пригородной зоны, ее дальнейшим расползанием и ростом населения Центрально-Русского мегалополиса до 30 млн</w:t>
      </w:r>
      <w:r w:rsidR="00A54E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человек.</w:t>
      </w:r>
    </w:p>
    <w:p w:rsidR="004B46EC" w:rsidRPr="004B46EC" w:rsidRDefault="004B46EC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Алла Махрова</w:t>
      </w:r>
    </w:p>
    <w:p w:rsidR="004B46EC" w:rsidRPr="004B46EC" w:rsidRDefault="00A54E07" w:rsidP="004B46EC">
      <w:pPr>
        <w:shd w:val="clear" w:color="auto" w:fill="EFF0F0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12" w:history="1">
        <w:r w:rsidR="004B46EC" w:rsidRPr="00FF01BF">
          <w:rPr>
            <w:rStyle w:val="a5"/>
            <w:rFonts w:ascii="Times New Roman" w:eastAsia="Times New Roman" w:hAnsi="Times New Roman" w:cs="Times New Roman"/>
            <w:sz w:val="23"/>
            <w:szCs w:val="23"/>
            <w:lang w:eastAsia="ru-RU"/>
          </w:rPr>
          <w:t>http://ecpol.ru/2012-04-05-13-41-25/2012-04-05-13-41-42/748-beskrajnyaya-moskva-faktory-rosta-i-razvitiya.html</w:t>
        </w:r>
      </w:hyperlink>
      <w:r w:rsid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4B46EC" w:rsidRPr="004B46EC" w:rsidRDefault="004B46EC" w:rsidP="004B46EC">
      <w:pPr>
        <w:shd w:val="clear" w:color="auto" w:fill="EFF0F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 материалам доклада А.Г. Махровой «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Субурбанизация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 </w:t>
      </w:r>
      <w:proofErr w:type="spellStart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постсубурбанизация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условиях развитой агломерации (на примере Московской)» на </w:t>
      </w:r>
      <w:proofErr w:type="spellStart"/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begin"/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instrText xml:space="preserve"> HYPERLINK "http://www.leontief-centre.ru/UserFiles/Files/Progr_2013_f.pdf" \t "_blank" </w:instrTex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separate"/>
      </w:r>
      <w:r w:rsidRPr="004B46EC">
        <w:rPr>
          <w:rFonts w:ascii="Times New Roman" w:eastAsia="Times New Roman" w:hAnsi="Times New Roman" w:cs="Times New Roman"/>
          <w:i/>
          <w:iCs/>
          <w:color w:val="005594"/>
          <w:sz w:val="23"/>
          <w:szCs w:val="23"/>
          <w:u w:val="single"/>
          <w:lang w:eastAsia="ru-RU"/>
        </w:rPr>
        <w:t>Леонтьевских</w:t>
      </w:r>
      <w:proofErr w:type="spellEnd"/>
      <w:r w:rsidRPr="004B46EC">
        <w:rPr>
          <w:rFonts w:ascii="Times New Roman" w:eastAsia="Times New Roman" w:hAnsi="Times New Roman" w:cs="Times New Roman"/>
          <w:i/>
          <w:iCs/>
          <w:color w:val="005594"/>
          <w:sz w:val="23"/>
          <w:szCs w:val="23"/>
          <w:u w:val="single"/>
          <w:lang w:eastAsia="ru-RU"/>
        </w:rPr>
        <w:t xml:space="preserve"> чтениях</w:t>
      </w:r>
      <w:r w:rsidRPr="004B46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fldChar w:fldCharType="end"/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u w:val="single"/>
          <w:lang w:eastAsia="ru-RU"/>
        </w:rPr>
        <w:t> 2013</w:t>
      </w:r>
      <w:r w:rsidRPr="004B46E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15 февраля 2013 г., Санкт-Петербург.</w:t>
      </w:r>
    </w:p>
    <w:p w:rsidR="00AF2549" w:rsidRDefault="00A54E07"/>
    <w:sectPr w:rsidR="00AF2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EC"/>
    <w:rsid w:val="002E5F6F"/>
    <w:rsid w:val="004B46EC"/>
    <w:rsid w:val="00A54E07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46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6E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B4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985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2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88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56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1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3927">
              <w:marLeft w:val="-17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44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gr.ms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cpol.ru/component/contact/contact/351.html" TargetMode="External"/><Relationship Id="rId12" Type="http://schemas.openxmlformats.org/officeDocument/2006/relationships/hyperlink" Target="http://ecpol.ru/2012-04-05-13-41-25/2012-04-05-13-41-42/748-beskrajnyaya-moskva-faktory-rosta-i-razvitiy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cpol.ru/2012-04-05-13-41-25/2012-04-05-13-41-42.html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ecpol.ru/2012-04-05-13-41-25.html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ecpol.ru/media/images/mahrova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1357</Words>
  <Characters>7739</Characters>
  <Application>Microsoft Office Word</Application>
  <DocSecurity>0</DocSecurity>
  <Lines>64</Lines>
  <Paragraphs>18</Paragraphs>
  <ScaleCrop>false</ScaleCrop>
  <Company>Krokoz™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2015-04-01T19:44:00Z</dcterms:created>
  <dcterms:modified xsi:type="dcterms:W3CDTF">2015-04-01T19:53:00Z</dcterms:modified>
</cp:coreProperties>
</file>